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sottoposti a vincolo idrogeologico - CILA/SCIA piu' Autorizzazioni (la mappatura si riferisce alla CILA)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CILA/SCIA e nel rilascio dell'autorizzazione per interventi su immobili sottoposti a vincolo idrogeologico.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interventi sottoposti a Dia, SCIA o Cila, infatti, devono ottenere preventivamente atti o pareri relativi all'assetto idrogeologico laddove previsto dalla normativa applicabile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3267/1923 - Riordinamento e riforma della legislazione in materia di boschi e terreni montani - D.Lgs. 152/2006- Normativa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- 60 giorni per il rilascio dell'autorizzazione.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CILA - Dal momento che la comunicazione non necessita di autorizzazione, i lavori possono iniziare immediatamente dopo la sua presentazione.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L'inizio dei lavori e la conclusione degli stessi deve obbligatoriamente avvenire entro tre anni dalla presentazione della comunicazione.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-Non e' previso alcun provvedimento conclusivo e non si forma il silenzio, residua il controllo in capo all'amministrazione, con riferimento alla CILA.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Tuttavia, la CILA non assume efficacia siano all'autorizzazione richiesta.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Provvedimento espresso e motivato: autorizzazione idrogeologica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